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FF9F" w14:textId="21F1AC90" w:rsidR="00F66768" w:rsidRPr="00F66768" w:rsidRDefault="00F66768" w:rsidP="00F66768">
      <w:pPr>
        <w:pageBreakBefore/>
        <w:suppressAutoHyphens/>
        <w:autoSpaceDN w:val="0"/>
        <w:spacing w:line="276" w:lineRule="auto"/>
        <w:jc w:val="right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5F5A7A">
        <w:rPr>
          <w:rFonts w:eastAsia="SimSun" w:cs="Arial"/>
          <w:kern w:val="3"/>
          <w:sz w:val="18"/>
          <w:szCs w:val="18"/>
          <w:lang w:eastAsia="zh-CN" w:bidi="hi-IN"/>
        </w:rPr>
        <w:t>Załącznik nr 2</w:t>
      </w:r>
      <w:r>
        <w:rPr>
          <w:rFonts w:eastAsia="SimSun" w:cs="Arial"/>
          <w:kern w:val="3"/>
          <w:sz w:val="18"/>
          <w:szCs w:val="18"/>
          <w:lang w:eastAsia="zh-CN" w:bidi="hi-IN"/>
        </w:rPr>
        <w:t xml:space="preserve"> do Regulaminu</w:t>
      </w:r>
    </w:p>
    <w:p w14:paraId="5898B82D" w14:textId="77777777" w:rsidR="00F66768" w:rsidRDefault="00F66768" w:rsidP="00F66768">
      <w:pPr>
        <w:suppressAutoHyphens/>
        <w:autoSpaceDN w:val="0"/>
        <w:spacing w:line="240" w:lineRule="auto"/>
        <w:jc w:val="center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</w:p>
    <w:p w14:paraId="34D95F5D" w14:textId="7AF65E9D" w:rsidR="00F66768" w:rsidRPr="00A705CF" w:rsidRDefault="00F66768" w:rsidP="00F66768">
      <w:pPr>
        <w:suppressAutoHyphens/>
        <w:autoSpaceDN w:val="0"/>
        <w:spacing w:line="240" w:lineRule="auto"/>
        <w:jc w:val="center"/>
        <w:textAlignment w:val="baseline"/>
        <w:rPr>
          <w:rFonts w:eastAsia="SimSun" w:cs="Arial"/>
          <w:b/>
          <w:bCs/>
          <w:kern w:val="3"/>
          <w:sz w:val="21"/>
          <w:szCs w:val="21"/>
          <w:lang w:eastAsia="zh-CN" w:bidi="hi-IN"/>
        </w:rPr>
      </w:pPr>
      <w:r w:rsidRPr="00A705CF">
        <w:rPr>
          <w:rFonts w:eastAsia="SimSun" w:cs="Arial"/>
          <w:b/>
          <w:kern w:val="3"/>
          <w:sz w:val="21"/>
          <w:szCs w:val="21"/>
          <w:lang w:eastAsia="zh-CN" w:bidi="hi-IN"/>
        </w:rPr>
        <w:t xml:space="preserve">INFORMACJA </w:t>
      </w:r>
      <w:r w:rsidRPr="00A705CF"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 xml:space="preserve">O PRZETWARZANIU DANYCH OSOBOWYCH </w:t>
      </w:r>
    </w:p>
    <w:p w14:paraId="122C3C25" w14:textId="77777777" w:rsidR="00F66768" w:rsidRPr="00A705CF" w:rsidRDefault="00F66768" w:rsidP="00F66768">
      <w:pPr>
        <w:suppressAutoHyphens/>
        <w:autoSpaceDN w:val="0"/>
        <w:spacing w:line="240" w:lineRule="auto"/>
        <w:jc w:val="center"/>
        <w:textAlignment w:val="baseline"/>
        <w:rPr>
          <w:rFonts w:eastAsia="SimSun" w:cs="Arial"/>
          <w:b/>
          <w:bCs/>
          <w:kern w:val="3"/>
          <w:sz w:val="21"/>
          <w:szCs w:val="21"/>
          <w:lang w:eastAsia="zh-CN" w:bidi="hi-IN"/>
        </w:rPr>
      </w:pPr>
      <w:r w:rsidRPr="00A705CF">
        <w:rPr>
          <w:rFonts w:eastAsia="SimSun" w:cs="Arial"/>
          <w:b/>
          <w:bCs/>
          <w:kern w:val="3"/>
          <w:sz w:val="21"/>
          <w:szCs w:val="21"/>
          <w:lang w:eastAsia="zh-CN" w:bidi="hi-IN"/>
        </w:rPr>
        <w:t>UCZESTNIKÓW PROGRAMU LOJALNOŚCIOWEGO „PURIOS KING”</w:t>
      </w:r>
    </w:p>
    <w:p w14:paraId="460C0440" w14:textId="77777777" w:rsidR="00F66768" w:rsidRPr="00A705CF" w:rsidRDefault="00F66768" w:rsidP="00F66768">
      <w:pPr>
        <w:suppressAutoHyphens/>
        <w:autoSpaceDN w:val="0"/>
        <w:spacing w:line="240" w:lineRule="auto"/>
        <w:jc w:val="left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</w:p>
    <w:p w14:paraId="560BD68D" w14:textId="77777777" w:rsidR="00F66768" w:rsidRPr="00A705CF" w:rsidRDefault="00F66768" w:rsidP="00F66768">
      <w:pPr>
        <w:widowControl w:val="0"/>
        <w:suppressAutoHyphens/>
        <w:spacing w:line="240" w:lineRule="auto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jako: RODO) podajemy informacje, dotyczące przetwarzania danych osobowych:</w:t>
      </w:r>
    </w:p>
    <w:p w14:paraId="1F32CE1E" w14:textId="77777777" w:rsidR="00F66768" w:rsidRPr="00A705CF" w:rsidRDefault="00F66768" w:rsidP="00F66768">
      <w:pPr>
        <w:widowControl w:val="0"/>
        <w:suppressAutoHyphens/>
        <w:spacing w:line="240" w:lineRule="auto"/>
        <w:jc w:val="left"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7B1A2824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Zakres podmiotowy.</w:t>
      </w:r>
    </w:p>
    <w:p w14:paraId="3582E5B7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Niniejsza Informacja o przetwarzaniu danych osobowych dotyczy przetwarzania danych osobowych następujących osób fizycznych:</w:t>
      </w:r>
    </w:p>
    <w:p w14:paraId="79B36209" w14:textId="77777777" w:rsidR="00F66768" w:rsidRPr="00A705CF" w:rsidRDefault="00F66768" w:rsidP="00F66768">
      <w:pPr>
        <w:widowControl w:val="0"/>
        <w:numPr>
          <w:ilvl w:val="0"/>
          <w:numId w:val="3"/>
        </w:numPr>
        <w:suppressAutoHyphens/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uczestników Programu lojalnościowego „</w:t>
      </w:r>
      <w:proofErr w:type="spellStart"/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Purios</w:t>
      </w:r>
      <w:proofErr w:type="spellEnd"/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King” (dalej jako: Program Lojalnościowy”),</w:t>
      </w:r>
    </w:p>
    <w:p w14:paraId="71C4FB30" w14:textId="77777777" w:rsidR="00F66768" w:rsidRPr="00A705CF" w:rsidRDefault="00F66768" w:rsidP="00F66768">
      <w:pPr>
        <w:widowControl w:val="0"/>
        <w:numPr>
          <w:ilvl w:val="0"/>
          <w:numId w:val="3"/>
        </w:numPr>
        <w:suppressAutoHyphens/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członków organów, pracowników, współpracowników, pełnomocników, reprezentantów uczestników Programu lojalnościowego,</w:t>
      </w:r>
    </w:p>
    <w:p w14:paraId="2CE54D76" w14:textId="77777777" w:rsidR="00F66768" w:rsidRPr="00A705CF" w:rsidRDefault="00F66768" w:rsidP="00F66768">
      <w:pPr>
        <w:widowControl w:val="0"/>
        <w:numPr>
          <w:ilvl w:val="0"/>
          <w:numId w:val="3"/>
        </w:numPr>
        <w:suppressAutoHyphens/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innych osób, których dane są przetwarzane przez Purinova sp. z o. o. w ramach współpracy z osobami wskazanymi w pkt. 1 lub 2</w:t>
      </w:r>
    </w:p>
    <w:p w14:paraId="73D9666E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(dalej jako: Uczestnicy lub Państwo).</w:t>
      </w:r>
    </w:p>
    <w:p w14:paraId="763B7D7F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jc w:val="left"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634A74EF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Administrator danych osobowych.</w:t>
      </w:r>
    </w:p>
    <w:p w14:paraId="3A74E225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Administratorem Państwa danych osobowych jest Purinova Sp.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z o.o z siedzibą w Bydgoszczy 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>pod adresem ul. Fordońska 74, 85-719 Bydgoszcz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(dalej jako: Administrator). Z Administratorem mogą się Państwo skontaktować korespondencyjnie na adres siedziby albo za pośrednictwem poczty elektronicznej pod adresem </w:t>
      </w:r>
      <w:bookmarkStart w:id="0" w:name="_Hlk515893304"/>
      <w:r w:rsidRPr="00A705CF"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  <w:fldChar w:fldCharType="begin"/>
      </w:r>
      <w:r w:rsidRPr="00A705CF"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  <w:instrText xml:space="preserve"> HYPERLINK "mailto:puriosking@purinova.com" </w:instrText>
      </w:r>
      <w:r w:rsidRPr="00A705CF"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</w:r>
      <w:r w:rsidRPr="00A705CF"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  <w:fldChar w:fldCharType="separate"/>
      </w:r>
      <w:r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  <w:t>odo</w:t>
      </w:r>
      <w:r w:rsidRPr="00A705CF">
        <w:rPr>
          <w:rStyle w:val="Hipercze"/>
          <w:rFonts w:eastAsia="TimesNewRomanPS-BoldMT" w:cs="Calibri"/>
          <w:bCs/>
          <w:kern w:val="2"/>
          <w:sz w:val="21"/>
          <w:szCs w:val="21"/>
          <w:lang w:eastAsia="pl-PL"/>
        </w:rPr>
        <w:t>@purinova.com</w:t>
      </w:r>
      <w:bookmarkEnd w:id="0"/>
      <w:r w:rsidRPr="00A705CF">
        <w:rPr>
          <w:rFonts w:eastAsia="TimesNewRomanPS-BoldMT" w:cs="Calibri"/>
          <w:bCs/>
          <w:color w:val="467886" w:themeColor="hyperlink"/>
          <w:kern w:val="2"/>
          <w:sz w:val="21"/>
          <w:szCs w:val="21"/>
          <w:u w:val="single"/>
          <w:lang w:eastAsia="pl-PL"/>
        </w:rPr>
        <w:fldChar w:fldCharType="end"/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.</w:t>
      </w:r>
    </w:p>
    <w:p w14:paraId="31147FCE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</w:p>
    <w:p w14:paraId="7A77DDEB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Cele i podstawy prawne przetwarzania danych osobowych oraz okres przechowywania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3596"/>
        <w:gridCol w:w="1134"/>
        <w:gridCol w:w="3966"/>
      </w:tblGrid>
      <w:tr w:rsidR="00F66768" w:rsidRPr="003947C2" w14:paraId="7C37376E" w14:textId="77777777" w:rsidTr="00781E15">
        <w:tc>
          <w:tcPr>
            <w:tcW w:w="510" w:type="dxa"/>
          </w:tcPr>
          <w:p w14:paraId="638989A3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6" w:type="dxa"/>
          </w:tcPr>
          <w:p w14:paraId="2E72296D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1134" w:type="dxa"/>
          </w:tcPr>
          <w:p w14:paraId="6CAC140F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3966" w:type="dxa"/>
          </w:tcPr>
          <w:p w14:paraId="208A7F02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/>
                <w:bCs/>
                <w:kern w:val="2"/>
                <w:sz w:val="20"/>
                <w:szCs w:val="20"/>
                <w:lang w:eastAsia="pl-PL"/>
              </w:rPr>
              <w:t>Okres przechowywania</w:t>
            </w:r>
          </w:p>
        </w:tc>
      </w:tr>
      <w:tr w:rsidR="00F66768" w:rsidRPr="003947C2" w14:paraId="45BAB6C6" w14:textId="77777777" w:rsidTr="00781E15">
        <w:tc>
          <w:tcPr>
            <w:tcW w:w="510" w:type="dxa"/>
          </w:tcPr>
          <w:p w14:paraId="6D5670A4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96" w:type="dxa"/>
          </w:tcPr>
          <w:p w14:paraId="282C432F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65265B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Prowadzenie Programu lojalnościowego – w tym naliczanie Punktów, obsługa wymiany Punktów na Nagrody</w:t>
            </w:r>
          </w:p>
        </w:tc>
        <w:tc>
          <w:tcPr>
            <w:tcW w:w="1134" w:type="dxa"/>
          </w:tcPr>
          <w:p w14:paraId="451A2270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Art. 6 ust. 1</w:t>
            </w:r>
            <w:r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 xml:space="preserve"> </w:t>
            </w: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lit. b) RODO</w:t>
            </w:r>
          </w:p>
        </w:tc>
        <w:tc>
          <w:tcPr>
            <w:tcW w:w="3966" w:type="dxa"/>
          </w:tcPr>
          <w:p w14:paraId="16A7FDA7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 xml:space="preserve">do czasu zakończenia </w:t>
            </w:r>
            <w:r w:rsidRPr="0065265B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Programu lub zakończenia udziału Uczestnika w Programie</w:t>
            </w: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, chyba że możliwość przechowywania wynika z innych podstaw prawnych</w:t>
            </w:r>
          </w:p>
        </w:tc>
      </w:tr>
      <w:tr w:rsidR="00F66768" w:rsidRPr="003947C2" w14:paraId="5BC2A3BF" w14:textId="77777777" w:rsidTr="00781E15">
        <w:tc>
          <w:tcPr>
            <w:tcW w:w="510" w:type="dxa"/>
          </w:tcPr>
          <w:p w14:paraId="2702B23B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96" w:type="dxa"/>
          </w:tcPr>
          <w:p w14:paraId="2D7C5548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Wypełnienie obowiązków prawnych ciążących na Administratorze (np. wystawianie faktur</w:t>
            </w:r>
            <w:r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,</w:t>
            </w: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 xml:space="preserve"> przechowywanie dokumentacji)</w:t>
            </w:r>
          </w:p>
        </w:tc>
        <w:tc>
          <w:tcPr>
            <w:tcW w:w="1134" w:type="dxa"/>
          </w:tcPr>
          <w:p w14:paraId="15E06873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Art. 6 ust. 1 lit. c) RODO</w:t>
            </w:r>
          </w:p>
        </w:tc>
        <w:tc>
          <w:tcPr>
            <w:tcW w:w="3966" w:type="dxa"/>
          </w:tcPr>
          <w:p w14:paraId="5D13CD95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do czasu upływu terminów wynikających z przepisów (np. zasadniczo dokumentację podatkową należy przechowywać przez okres 5 lat, licząc od końca roku kalendarzowego, w którym upłynął termin płatności podatku)</w:t>
            </w:r>
          </w:p>
        </w:tc>
      </w:tr>
      <w:tr w:rsidR="00F66768" w:rsidRPr="003947C2" w14:paraId="7070063B" w14:textId="77777777" w:rsidTr="00781E15">
        <w:tc>
          <w:tcPr>
            <w:tcW w:w="510" w:type="dxa"/>
          </w:tcPr>
          <w:p w14:paraId="5510AF53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jc w:val="left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96" w:type="dxa"/>
          </w:tcPr>
          <w:p w14:paraId="7C22F44A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Prawnie uzasadniony interes Administratora polegający na:</w:t>
            </w:r>
          </w:p>
          <w:p w14:paraId="6402C5B9" w14:textId="77777777" w:rsidR="00F66768" w:rsidRPr="0065265B" w:rsidRDefault="00F66768" w:rsidP="00F6676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left="282" w:hanging="218"/>
              <w:contextualSpacing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utrzymywaniu relacji biznesowych</w:t>
            </w:r>
          </w:p>
          <w:p w14:paraId="59683A60" w14:textId="77777777" w:rsidR="00F66768" w:rsidRPr="003947C2" w:rsidRDefault="00F66768" w:rsidP="00F6676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left="282" w:hanging="218"/>
              <w:contextualSpacing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65265B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ocenie efektywności Programu lojalnościowego</w:t>
            </w:r>
          </w:p>
          <w:p w14:paraId="0E944B7F" w14:textId="77777777" w:rsidR="00F66768" w:rsidRPr="003947C2" w:rsidRDefault="00F66768" w:rsidP="00F6676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left="282" w:hanging="218"/>
              <w:contextualSpacing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ustalaniu, dochodzeniu, obronie przed roszczeniami</w:t>
            </w:r>
          </w:p>
          <w:p w14:paraId="6A20F9B6" w14:textId="77777777" w:rsidR="00F66768" w:rsidRPr="003947C2" w:rsidRDefault="00F66768" w:rsidP="00F6676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ind w:left="282" w:hanging="218"/>
              <w:contextualSpacing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marketingu własnych produktów lub usług</w:t>
            </w:r>
            <w:r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 xml:space="preserve">, w tym przesyłanie informacji handlowych </w:t>
            </w:r>
          </w:p>
        </w:tc>
        <w:tc>
          <w:tcPr>
            <w:tcW w:w="1134" w:type="dxa"/>
          </w:tcPr>
          <w:p w14:paraId="0E18AC43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Art. 6 ust. 1 lit. f) RODO</w:t>
            </w:r>
          </w:p>
        </w:tc>
        <w:tc>
          <w:tcPr>
            <w:tcW w:w="3966" w:type="dxa"/>
          </w:tcPr>
          <w:p w14:paraId="63954474" w14:textId="77777777" w:rsidR="00F66768" w:rsidRPr="003947C2" w:rsidRDefault="00F66768" w:rsidP="00781E15">
            <w:pPr>
              <w:widowControl w:val="0"/>
              <w:suppressAutoHyphens/>
              <w:spacing w:line="240" w:lineRule="auto"/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</w:pP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 xml:space="preserve">do czasu realizacji lub ustania interesu (np. do momentu przedawnienia się ewentualnych roszczeń wynikających </w:t>
            </w:r>
            <w:r w:rsidRPr="0065265B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z udziału w Programie</w:t>
            </w:r>
            <w:r w:rsidRPr="003947C2">
              <w:rPr>
                <w:rFonts w:eastAsia="TimesNewRomanPS-BoldMT" w:cs="Calibri"/>
                <w:bCs/>
                <w:kern w:val="2"/>
                <w:sz w:val="20"/>
                <w:szCs w:val="20"/>
                <w:lang w:eastAsia="pl-PL"/>
              </w:rPr>
              <w:t>) lub skutecznego złożenia sprzeciwu wobec przechowywania</w:t>
            </w:r>
          </w:p>
        </w:tc>
      </w:tr>
    </w:tbl>
    <w:p w14:paraId="14ABFB73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lastRenderedPageBreak/>
        <w:t>Kategorie danych osobowych.</w:t>
      </w:r>
    </w:p>
    <w:p w14:paraId="24DA218D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Jako Administrator, będziemy przetwarzać następujące kategorie danych osobowych: </w:t>
      </w:r>
    </w:p>
    <w:p w14:paraId="5F45EF98" w14:textId="77777777" w:rsidR="00F66768" w:rsidRPr="00A705CF" w:rsidRDefault="00F66768" w:rsidP="00F66768">
      <w:pPr>
        <w:widowControl w:val="0"/>
        <w:numPr>
          <w:ilvl w:val="0"/>
          <w:numId w:val="1"/>
        </w:numPr>
        <w:suppressAutoHyphens/>
        <w:spacing w:line="240" w:lineRule="auto"/>
        <w:ind w:left="1134"/>
        <w:rPr>
          <w:rFonts w:eastAsia="TimesNewRomanPS-BoldMT" w:cs="Calibri"/>
          <w:bCs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sz w:val="21"/>
          <w:szCs w:val="21"/>
          <w:lang w:eastAsia="pl-PL"/>
        </w:rPr>
        <w:t>dane identyfikujące, np.: imię (imiona) i nazwisko, numer PESEL, NIP, REGON, adres prowadzenia działalności gospodarczej, stanowisko służbowe/pełniona funkcja</w:t>
      </w:r>
    </w:p>
    <w:p w14:paraId="19057E1A" w14:textId="77777777" w:rsidR="00F66768" w:rsidRPr="00A705CF" w:rsidRDefault="00F66768" w:rsidP="00F66768">
      <w:pPr>
        <w:widowControl w:val="0"/>
        <w:numPr>
          <w:ilvl w:val="0"/>
          <w:numId w:val="1"/>
        </w:numPr>
        <w:suppressAutoHyphens/>
        <w:spacing w:line="240" w:lineRule="auto"/>
        <w:ind w:left="1134"/>
        <w:rPr>
          <w:rFonts w:eastAsia="TimesNewRomanPS-BoldMT" w:cs="Calibri"/>
          <w:bCs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sz w:val="21"/>
          <w:szCs w:val="21"/>
          <w:lang w:eastAsia="pl-PL"/>
        </w:rPr>
        <w:t>dane kontaktowe, np.: adres korespondencyjny, email, numer telefonu stacjonarnego, komórkowego</w:t>
      </w:r>
    </w:p>
    <w:p w14:paraId="02C363CC" w14:textId="77777777" w:rsidR="00F66768" w:rsidRPr="00A705CF" w:rsidRDefault="00F66768" w:rsidP="00F66768">
      <w:pPr>
        <w:widowControl w:val="0"/>
        <w:suppressAutoHyphens/>
        <w:spacing w:line="240" w:lineRule="auto"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</w:p>
    <w:p w14:paraId="1CD82D01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Odbiorcy danych osobowych.</w:t>
      </w:r>
    </w:p>
    <w:p w14:paraId="2C433311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Administrator może przekazywać Państwa dane osobowe w niezbędnym zakresie w szczególności następującym kategoriom odbiorców:</w:t>
      </w:r>
    </w:p>
    <w:p w14:paraId="290AEA65" w14:textId="77777777" w:rsidR="00F66768" w:rsidRPr="00A705CF" w:rsidRDefault="00F66768" w:rsidP="00F66768">
      <w:pPr>
        <w:numPr>
          <w:ilvl w:val="0"/>
          <w:numId w:val="5"/>
        </w:numPr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podmiotom świadczącym usługi na rzecz Administratora, w szczególności:</w:t>
      </w:r>
    </w:p>
    <w:p w14:paraId="22CEE8A7" w14:textId="77777777" w:rsidR="00F66768" w:rsidRPr="00A705CF" w:rsidRDefault="00F66768" w:rsidP="00F66768">
      <w:pPr>
        <w:widowControl w:val="0"/>
        <w:numPr>
          <w:ilvl w:val="0"/>
          <w:numId w:val="6"/>
        </w:numPr>
        <w:suppressAutoHyphens/>
        <w:spacing w:line="240" w:lineRule="auto"/>
        <w:ind w:left="1418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podmiotom obsługującym lub udostępniającym Administratorowi systemy i narzędzia teleinformatyczne, w których przetwarzane są dane osobowe</w:t>
      </w:r>
    </w:p>
    <w:p w14:paraId="76C01ED7" w14:textId="77777777" w:rsidR="00F66768" w:rsidRPr="00A705CF" w:rsidRDefault="00F66768" w:rsidP="00F66768">
      <w:pPr>
        <w:widowControl w:val="0"/>
        <w:numPr>
          <w:ilvl w:val="0"/>
          <w:numId w:val="6"/>
        </w:numPr>
        <w:suppressAutoHyphens/>
        <w:spacing w:line="240" w:lineRule="auto"/>
        <w:ind w:left="1418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zewnętrznej obsłudze prawnej, doradztwa finansowego i podatkowego</w:t>
      </w:r>
    </w:p>
    <w:p w14:paraId="436C0595" w14:textId="77777777" w:rsidR="00F66768" w:rsidRPr="00A705CF" w:rsidRDefault="00F66768" w:rsidP="00F66768">
      <w:pPr>
        <w:widowControl w:val="0"/>
        <w:numPr>
          <w:ilvl w:val="0"/>
          <w:numId w:val="6"/>
        </w:numPr>
        <w:suppressAutoHyphens/>
        <w:spacing w:line="240" w:lineRule="auto"/>
        <w:ind w:left="1418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podmiotom świadczącym usługi logistyczne (magazynowanie, spedycja, przewóz towarów)</w:t>
      </w:r>
    </w:p>
    <w:p w14:paraId="221EF920" w14:textId="77777777" w:rsidR="00F66768" w:rsidRPr="00A705CF" w:rsidRDefault="00F66768" w:rsidP="00F66768">
      <w:pPr>
        <w:widowControl w:val="0"/>
        <w:numPr>
          <w:ilvl w:val="0"/>
          <w:numId w:val="6"/>
        </w:numPr>
        <w:suppressAutoHyphens/>
        <w:spacing w:line="240" w:lineRule="auto"/>
        <w:ind w:left="1418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podmiotom świadczącym usługi pocztowe i kurierskie</w:t>
      </w:r>
    </w:p>
    <w:p w14:paraId="19480BDB" w14:textId="77777777" w:rsidR="00F66768" w:rsidRPr="00A705CF" w:rsidRDefault="00F66768" w:rsidP="00F66768">
      <w:pPr>
        <w:numPr>
          <w:ilvl w:val="0"/>
          <w:numId w:val="5"/>
        </w:numPr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instytucjom upoważnionym z mocy prawa do odbioru danych osobowych Kontrahentów na podstawie odpowiednich przepisów prawa (np. 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>u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rząd 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>s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karbowy, organy sądowe lub inne, w tym komornicy i policja),</w:t>
      </w:r>
    </w:p>
    <w:p w14:paraId="7BFB921E" w14:textId="77777777" w:rsidR="00F66768" w:rsidRPr="00A705CF" w:rsidRDefault="00F66768" w:rsidP="00F66768">
      <w:pPr>
        <w:numPr>
          <w:ilvl w:val="0"/>
          <w:numId w:val="5"/>
        </w:numPr>
        <w:spacing w:line="240" w:lineRule="auto"/>
        <w:ind w:left="993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instytucjom upoważnionym z mocy prawa do kontroli działalności Administratora.</w:t>
      </w:r>
    </w:p>
    <w:p w14:paraId="7D2186A0" w14:textId="77777777" w:rsidR="00F66768" w:rsidRPr="00A705CF" w:rsidRDefault="00F66768" w:rsidP="00F66768">
      <w:pPr>
        <w:spacing w:line="240" w:lineRule="auto"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0A36A08A" w14:textId="77777777" w:rsidR="00F66768" w:rsidRPr="00A705CF" w:rsidRDefault="00F66768" w:rsidP="00F66768">
      <w:pPr>
        <w:spacing w:line="240" w:lineRule="auto"/>
        <w:ind w:left="426"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Podmioty przetwarzające dane osobowe stosują właściwe zabezpieczenia poprzez stosowanie odpowiednich środków technicznych i organizacyjnych zapewniających adekwatny stopień bezpieczeństwa odpowiadający ryzyku związanym z przetwarzaniem danych osobowych, zgodnie z przepisami RODO, a także zgodnie z innymi powszechnie obowiązującymi przepisami. Podmioty przetwarzające dane mają obowiązek zachowania w tajemnicy treści przetwarzanych danych osobowych.</w:t>
      </w:r>
    </w:p>
    <w:p w14:paraId="6CB97DB6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</w:p>
    <w:p w14:paraId="23189612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Prawa osób, których dane dotyczą.</w:t>
      </w:r>
    </w:p>
    <w:p w14:paraId="0141FA33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W zakresie wynikającym z RODO, posiadają Państwo prawo do żądania od Administratora dostępu do swoich danych osobowych, prawo do ich sprostowania, usunięcia lub ograniczenia przetwarzania, prawo do wniesienia sprzeciwu wobec przetwarzania opartego o uzasadniony interes Administratora, prawo do przenoszenia danych.</w:t>
      </w:r>
    </w:p>
    <w:p w14:paraId="5B2818D8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Aby zrealizować swoje prawa, mogą Państwo skontaktować się z Administratorem pod adresem podanym w pkt. 2.</w:t>
      </w:r>
    </w:p>
    <w:p w14:paraId="2C4DF7A7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46229729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Mają Państwo prawo wniesienia skargi do organu nadzorczego, którym jest Prezes Urzędu Ochrony Danych Osobowych, adres: ul. Stawki 2, 00-193 Warszawa.</w:t>
      </w:r>
    </w:p>
    <w:p w14:paraId="380DE366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07D9A24A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Obowiązek lub dobrowolność podania danych.</w:t>
      </w:r>
    </w:p>
    <w:p w14:paraId="5B1FB085" w14:textId="77777777" w:rsidR="00F66768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cstheme="minorHAnsi"/>
          <w:sz w:val="21"/>
          <w:szCs w:val="21"/>
        </w:rPr>
      </w:pPr>
      <w:r w:rsidRPr="00A705CF">
        <w:rPr>
          <w:rFonts w:cstheme="minorHAnsi"/>
          <w:sz w:val="21"/>
          <w:szCs w:val="21"/>
        </w:rPr>
        <w:t>W przypadku gdy są Państwo Uczestnikiem Programu podanie danych jest dobrowolne, jednak niezbędne w celu uczestnictwa w Programie lojalnościowym.</w:t>
      </w:r>
    </w:p>
    <w:p w14:paraId="02CA3BC9" w14:textId="78687A10" w:rsidR="00F66768" w:rsidRPr="00F66768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cstheme="minorHAnsi"/>
          <w:sz w:val="21"/>
          <w:szCs w:val="21"/>
        </w:rPr>
      </w:pPr>
      <w:r w:rsidRPr="00A705CF">
        <w:rPr>
          <w:rFonts w:eastAsia="TimesNewRomanPS-BoldMT" w:cstheme="minorHAnsi"/>
          <w:bCs/>
          <w:kern w:val="2"/>
          <w:sz w:val="21"/>
          <w:szCs w:val="21"/>
          <w:lang w:eastAsia="pl-PL"/>
        </w:rPr>
        <w:t xml:space="preserve">W przypadku, gdy są Państwo osobą wymienioną w pkt. 1 </w:t>
      </w:r>
      <w:proofErr w:type="spellStart"/>
      <w:r w:rsidRPr="00A705CF">
        <w:rPr>
          <w:rFonts w:eastAsia="TimesNewRomanPS-BoldMT" w:cstheme="minorHAnsi"/>
          <w:bCs/>
          <w:kern w:val="2"/>
          <w:sz w:val="21"/>
          <w:szCs w:val="21"/>
          <w:lang w:eastAsia="pl-PL"/>
        </w:rPr>
        <w:t>ppkt</w:t>
      </w:r>
      <w:proofErr w:type="spellEnd"/>
      <w:r w:rsidRPr="00A705CF">
        <w:rPr>
          <w:rFonts w:eastAsia="TimesNewRomanPS-BoldMT" w:cstheme="minorHAnsi"/>
          <w:bCs/>
          <w:kern w:val="2"/>
          <w:sz w:val="21"/>
          <w:szCs w:val="21"/>
          <w:lang w:eastAsia="pl-PL"/>
        </w:rPr>
        <w:t>. 2 i 3, podanie danych osobowych może być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Państwa obowiązkiem służbowym.</w:t>
      </w:r>
    </w:p>
    <w:p w14:paraId="23644EFC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</w:p>
    <w:p w14:paraId="5A36DF88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Źródło pochodzenia danych.</w:t>
      </w:r>
    </w:p>
    <w:p w14:paraId="062A47EA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Państwa dane osobowe pozyskaliśmy:</w:t>
      </w:r>
    </w:p>
    <w:p w14:paraId="1F1597E1" w14:textId="77777777" w:rsidR="00F66768" w:rsidRPr="00A705CF" w:rsidRDefault="00F66768" w:rsidP="00F66768">
      <w:pPr>
        <w:widowControl w:val="0"/>
        <w:numPr>
          <w:ilvl w:val="0"/>
          <w:numId w:val="7"/>
        </w:numPr>
        <w:suppressAutoHyphens/>
        <w:spacing w:line="240" w:lineRule="auto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bezpośrednio od Państwa,</w:t>
      </w:r>
    </w:p>
    <w:p w14:paraId="1A704B3D" w14:textId="77777777" w:rsidR="00F66768" w:rsidRPr="00A705CF" w:rsidRDefault="00F66768" w:rsidP="00F66768">
      <w:pPr>
        <w:widowControl w:val="0"/>
        <w:numPr>
          <w:ilvl w:val="0"/>
          <w:numId w:val="7"/>
        </w:numPr>
        <w:suppressAutoHyphens/>
        <w:spacing w:line="240" w:lineRule="auto"/>
        <w:contextualSpacing/>
        <w:rPr>
          <w:rFonts w:eastAsia="TimesNewRomanPS-BoldMT" w:cs="Calibri"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od podmiotów, w których są Państwo członkami organów, pracownikami, współpracownikami, pełnomocnikami, reprezentantami.</w:t>
      </w:r>
    </w:p>
    <w:p w14:paraId="610314FC" w14:textId="77777777" w:rsidR="00F66768" w:rsidRPr="00A705CF" w:rsidRDefault="00F66768" w:rsidP="00F66768">
      <w:pPr>
        <w:widowControl w:val="0"/>
        <w:suppressAutoHyphens/>
        <w:spacing w:line="240" w:lineRule="auto"/>
        <w:ind w:left="426"/>
        <w:contextualSpacing/>
        <w:jc w:val="left"/>
        <w:rPr>
          <w:rFonts w:eastAsia="TimesNewRomanPS-BoldMT" w:cs="Calibri"/>
          <w:bCs/>
          <w:kern w:val="2"/>
          <w:sz w:val="21"/>
          <w:szCs w:val="21"/>
          <w:lang w:eastAsia="pl-PL"/>
        </w:rPr>
      </w:pPr>
    </w:p>
    <w:p w14:paraId="4E48FFBB" w14:textId="77777777" w:rsidR="00F66768" w:rsidRPr="00A705CF" w:rsidRDefault="00F66768" w:rsidP="00F66768">
      <w:pPr>
        <w:widowControl w:val="0"/>
        <w:numPr>
          <w:ilvl w:val="0"/>
          <w:numId w:val="2"/>
        </w:numPr>
        <w:suppressAutoHyphens/>
        <w:spacing w:line="240" w:lineRule="auto"/>
        <w:ind w:left="426" w:hanging="426"/>
        <w:contextualSpacing/>
        <w:jc w:val="left"/>
        <w:rPr>
          <w:rFonts w:eastAsia="TimesNewRomanPS-BoldMT" w:cs="Calibri"/>
          <w:b/>
          <w:bCs/>
          <w:kern w:val="2"/>
          <w:sz w:val="21"/>
          <w:szCs w:val="21"/>
          <w:lang w:eastAsia="pl-PL"/>
        </w:rPr>
      </w:pPr>
      <w:r w:rsidRPr="00A705CF">
        <w:rPr>
          <w:rFonts w:eastAsia="TimesNewRomanPS-BoldMT" w:cs="Calibri"/>
          <w:b/>
          <w:bCs/>
          <w:kern w:val="2"/>
          <w:sz w:val="21"/>
          <w:szCs w:val="21"/>
          <w:lang w:eastAsia="pl-PL"/>
        </w:rPr>
        <w:t>Aktualizacja Informacji o przetwarzaniu danych osobowych.</w:t>
      </w:r>
    </w:p>
    <w:p w14:paraId="61879042" w14:textId="77777777" w:rsidR="00F66768" w:rsidRPr="00A705CF" w:rsidRDefault="00F66768" w:rsidP="00F66768">
      <w:pPr>
        <w:suppressAutoHyphens/>
        <w:autoSpaceDN w:val="0"/>
        <w:spacing w:line="240" w:lineRule="auto"/>
        <w:ind w:left="426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Niniejsza Informacja o przetwarzaniu danych osobowych obowiązuje od dnia 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1 kwietnia 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2019 r. i 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została zaktualizowana ze skutkiem od dnia 17.04.2025 r. oraz 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>może podlegać dalszym zmianom. O zmianach będą Państwo inform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>owani</w:t>
      </w:r>
      <w:r w:rsidRPr="00A705CF"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w formie przewidzianej w Regulaminie Programu lojalnościowego</w:t>
      </w:r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„</w:t>
      </w:r>
      <w:proofErr w:type="spellStart"/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>Purios</w:t>
      </w:r>
      <w:proofErr w:type="spellEnd"/>
      <w:r>
        <w:rPr>
          <w:rFonts w:eastAsia="TimesNewRomanPS-BoldMT" w:cs="Calibri"/>
          <w:bCs/>
          <w:kern w:val="2"/>
          <w:sz w:val="21"/>
          <w:szCs w:val="21"/>
          <w:lang w:eastAsia="pl-PL"/>
        </w:rPr>
        <w:t xml:space="preserve"> King”.</w:t>
      </w:r>
    </w:p>
    <w:p w14:paraId="28B62053" w14:textId="77777777" w:rsidR="00F66768" w:rsidRPr="003947C2" w:rsidRDefault="00F66768" w:rsidP="00F66768"/>
    <w:p w14:paraId="02BF5832" w14:textId="77777777" w:rsidR="00A97EBC" w:rsidRDefault="00A97EBC"/>
    <w:sectPr w:rsidR="00A97EBC" w:rsidSect="00F66768">
      <w:footerReference w:type="default" r:id="rId5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741104"/>
      <w:docPartObj>
        <w:docPartGallery w:val="Page Numbers (Bottom of Page)"/>
        <w:docPartUnique/>
      </w:docPartObj>
    </w:sdtPr>
    <w:sdtContent>
      <w:p w14:paraId="6E02DCA7" w14:textId="77777777" w:rsidR="00000000" w:rsidRDefault="00000000">
        <w:pPr>
          <w:pStyle w:val="Stopka"/>
          <w:jc w:val="right"/>
        </w:pPr>
        <w:r w:rsidRPr="003B5104">
          <w:rPr>
            <w:sz w:val="18"/>
            <w:szCs w:val="18"/>
          </w:rPr>
          <w:fldChar w:fldCharType="begin"/>
        </w:r>
        <w:r w:rsidRPr="003B5104">
          <w:rPr>
            <w:sz w:val="18"/>
            <w:szCs w:val="18"/>
          </w:rPr>
          <w:instrText>PAGE   \* MERGEFORMAT</w:instrText>
        </w:r>
        <w:r w:rsidRPr="003B5104">
          <w:rPr>
            <w:sz w:val="18"/>
            <w:szCs w:val="18"/>
          </w:rPr>
          <w:fldChar w:fldCharType="separate"/>
        </w:r>
        <w:r w:rsidRPr="003B5104">
          <w:rPr>
            <w:sz w:val="18"/>
            <w:szCs w:val="18"/>
          </w:rPr>
          <w:t>2</w:t>
        </w:r>
        <w:r w:rsidRPr="003B5104">
          <w:rPr>
            <w:sz w:val="18"/>
            <w:szCs w:val="18"/>
          </w:rPr>
          <w:fldChar w:fldCharType="end"/>
        </w:r>
      </w:p>
    </w:sdtContent>
  </w:sdt>
  <w:p w14:paraId="7ED7DDF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73A5"/>
    <w:multiLevelType w:val="hybridMultilevel"/>
    <w:tmpl w:val="AAB20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B40"/>
    <w:multiLevelType w:val="hybridMultilevel"/>
    <w:tmpl w:val="FAC048DA"/>
    <w:lvl w:ilvl="0" w:tplc="A670A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0A9"/>
    <w:multiLevelType w:val="hybridMultilevel"/>
    <w:tmpl w:val="F67C7E12"/>
    <w:lvl w:ilvl="0" w:tplc="DC4E3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F8A"/>
    <w:multiLevelType w:val="hybridMultilevel"/>
    <w:tmpl w:val="405A4D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3A1FB7"/>
    <w:multiLevelType w:val="hybridMultilevel"/>
    <w:tmpl w:val="DB0A9242"/>
    <w:lvl w:ilvl="0" w:tplc="07B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95259"/>
    <w:multiLevelType w:val="hybridMultilevel"/>
    <w:tmpl w:val="B4467382"/>
    <w:lvl w:ilvl="0" w:tplc="07B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74E0"/>
    <w:multiLevelType w:val="hybridMultilevel"/>
    <w:tmpl w:val="0750D6F8"/>
    <w:lvl w:ilvl="0" w:tplc="07B88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2526">
    <w:abstractNumId w:val="4"/>
  </w:num>
  <w:num w:numId="2" w16cid:durableId="243078354">
    <w:abstractNumId w:val="2"/>
  </w:num>
  <w:num w:numId="3" w16cid:durableId="540091799">
    <w:abstractNumId w:val="1"/>
  </w:num>
  <w:num w:numId="4" w16cid:durableId="176888155">
    <w:abstractNumId w:val="6"/>
  </w:num>
  <w:num w:numId="5" w16cid:durableId="1834762814">
    <w:abstractNumId w:val="0"/>
  </w:num>
  <w:num w:numId="6" w16cid:durableId="183597084">
    <w:abstractNumId w:val="5"/>
  </w:num>
  <w:num w:numId="7" w16cid:durableId="141292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68"/>
    <w:rsid w:val="002741B9"/>
    <w:rsid w:val="004B6821"/>
    <w:rsid w:val="009E2948"/>
    <w:rsid w:val="00A97EBC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9808"/>
  <w15:chartTrackingRefBased/>
  <w15:docId w15:val="{53AE6BAE-6C02-4883-A0C6-793211D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768"/>
    <w:pPr>
      <w:spacing w:after="0" w:line="264" w:lineRule="auto"/>
      <w:jc w:val="both"/>
    </w:pPr>
    <w:rPr>
      <w:rFonts w:ascii="Palatino Linotype" w:hAnsi="Palatino Linotyp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6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6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7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6768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F667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67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768"/>
    <w:rPr>
      <w:rFonts w:ascii="Palatino Linotype" w:hAnsi="Palatino Linotyp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Drabiński</dc:creator>
  <cp:keywords/>
  <dc:description/>
  <cp:lastModifiedBy>Piotr Drabiński</cp:lastModifiedBy>
  <cp:revision>1</cp:revision>
  <dcterms:created xsi:type="dcterms:W3CDTF">2025-07-11T09:07:00Z</dcterms:created>
  <dcterms:modified xsi:type="dcterms:W3CDTF">2025-07-11T09:44:00Z</dcterms:modified>
</cp:coreProperties>
</file>